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principale"/>
        <w:numPr>
          <w:ilvl w:val="0"/>
          <w:numId w:val="1"/>
        </w:numPr>
        <w:spacing w:before="240" w:after="24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Scheda di sintesi sulla rilevazione degli OIV o organismi con funzioni analoghe</w:t>
      </w:r>
    </w:p>
    <w:p>
      <w:pPr>
        <w:pStyle w:val="ListParagraph"/>
        <w:spacing w:lineRule="auto" w:line="276" w:before="0" w:after="0"/>
        <w:ind w:left="0" w:hanging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</w:r>
    </w:p>
    <w:p>
      <w:pPr>
        <w:pStyle w:val="ListParagraph"/>
        <w:spacing w:lineRule="auto" w:line="276" w:before="0" w:after="0"/>
        <w:ind w:left="0" w:hanging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Presso l'Ordine degli Architetti P.P.C. d</w:t>
      </w:r>
      <w:r>
        <w:rPr>
          <w:rFonts w:eastAsia="Times New Roman" w:cs="Cambria" w:ascii="Titillium" w:hAnsi="Titillium"/>
          <w:sz w:val="20"/>
          <w:szCs w:val="20"/>
          <w:lang w:eastAsia="ar-SA"/>
        </w:rPr>
        <w:t>ella provincia di Salerno</w:t>
      </w:r>
      <w:r>
        <w:rPr>
          <w:rFonts w:ascii="Titillium" w:hAnsi="Titillium"/>
          <w:sz w:val="20"/>
          <w:szCs w:val="20"/>
        </w:rPr>
        <w:t xml:space="preserve"> è assente l'OIV o altro organismo con funzioni analoghe in base a espressa disposizione di legge (art. 2, comma 2 bis del D.L. 31 agosto 2013, n. 101, convertito nella L. 30 ottobre 2013, n. 125).</w:t>
      </w:r>
    </w:p>
    <w:p>
      <w:pPr>
        <w:pStyle w:val="ListParagraph"/>
        <w:spacing w:lineRule="auto" w:line="276" w:before="0" w:after="0"/>
        <w:ind w:left="0" w:hanging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</w:r>
    </w:p>
    <w:p>
      <w:pPr>
        <w:pStyle w:val="ListParagraph"/>
        <w:spacing w:lineRule="auto" w:line="360"/>
        <w:ind w:left="0" w:hanging="0"/>
        <w:rPr>
          <w:rFonts w:ascii="Titillium" w:hAnsi="Titillium"/>
          <w:b/>
          <w:b/>
          <w:i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>
      <w:pPr>
        <w:pStyle w:val="ListParagraph"/>
        <w:spacing w:lineRule="auto" w:line="276" w:before="0" w:after="0"/>
        <w:ind w:left="0" w:hanging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 xml:space="preserve">Data di svolgimento della rilevazione </w:t>
      </w:r>
      <w:r>
        <w:rPr>
          <w:rFonts w:ascii="Titillium" w:hAnsi="Titillium"/>
          <w:sz w:val="20"/>
          <w:szCs w:val="20"/>
        </w:rPr>
        <w:t>31/05/</w:t>
      </w:r>
      <w:r>
        <w:rPr>
          <w:rFonts w:ascii="Titillium" w:hAnsi="Titillium"/>
          <w:sz w:val="20"/>
          <w:szCs w:val="20"/>
        </w:rPr>
        <w:t>202</w:t>
      </w:r>
      <w:r>
        <w:rPr>
          <w:rFonts w:ascii="Titillium" w:hAnsi="Titillium"/>
          <w:sz w:val="20"/>
          <w:szCs w:val="20"/>
        </w:rPr>
        <w:t>2</w:t>
      </w:r>
      <w:r>
        <w:rPr>
          <w:rFonts w:ascii="Titillium" w:hAnsi="Titillium"/>
          <w:sz w:val="20"/>
          <w:szCs w:val="20"/>
        </w:rPr>
        <w:t>.</w:t>
      </w:r>
    </w:p>
    <w:p>
      <w:pPr>
        <w:pStyle w:val="ListParagraph"/>
        <w:spacing w:lineRule="auto" w:line="276"/>
        <w:ind w:left="0" w:hanging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</w:r>
    </w:p>
    <w:p>
      <w:pPr>
        <w:pStyle w:val="ListParagraph"/>
        <w:spacing w:before="0" w:after="0"/>
        <w:ind w:left="0" w:hanging="0"/>
        <w:rPr>
          <w:rFonts w:ascii="Titillium" w:hAnsi="Titillium"/>
          <w:b/>
          <w:b/>
          <w:i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  <w:t>Estensione della rilevazione (nel solo caso di amministrazioni/enti con uffici periferici)</w:t>
      </w:r>
    </w:p>
    <w:p>
      <w:pPr>
        <w:pStyle w:val="ListParagraph"/>
        <w:spacing w:before="0" w:after="0"/>
        <w:ind w:left="0" w:hanging="0"/>
        <w:rPr>
          <w:rFonts w:ascii="Titillium" w:hAnsi="Titillium"/>
          <w:b/>
          <w:b/>
          <w:sz w:val="20"/>
          <w:szCs w:val="20"/>
          <w:u w:val="single"/>
        </w:rPr>
      </w:pPr>
      <w:r>
        <w:rPr>
          <w:rFonts w:ascii="Titillium" w:hAnsi="Titillium"/>
          <w:b/>
          <w:sz w:val="20"/>
          <w:szCs w:val="20"/>
          <w:u w:val="single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Non applicabile, in quanto non ci sono uffici periferici</w:t>
      </w:r>
    </w:p>
    <w:p>
      <w:pPr>
        <w:pStyle w:val="ListParagraph"/>
        <w:spacing w:lineRule="auto" w:line="276" w:before="0" w:after="0"/>
        <w:ind w:left="720" w:hanging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</w:r>
    </w:p>
    <w:p>
      <w:pPr>
        <w:pStyle w:val="ListParagraph"/>
        <w:spacing w:lineRule="auto" w:line="360"/>
        <w:ind w:left="0" w:hanging="0"/>
        <w:rPr>
          <w:rFonts w:ascii="Titillium" w:hAnsi="Titillium"/>
          <w:b/>
          <w:b/>
          <w:i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>
      <w:pPr>
        <w:pStyle w:val="Default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360"/>
        <w:jc w:val="both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verifica assolvimento degli obblighi di pubblicazione da parte del RTPC;</w:t>
      </w:r>
    </w:p>
    <w:p>
      <w:pPr>
        <w:pStyle w:val="Default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360"/>
        <w:jc w:val="both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colloqui con i responsabili della trasmissione dei dati;</w:t>
      </w:r>
    </w:p>
    <w:p>
      <w:pPr>
        <w:pStyle w:val="Default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360"/>
        <w:jc w:val="both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colloqui con i responsabili della pubblicazione dei dati;</w:t>
      </w:r>
    </w:p>
    <w:p>
      <w:pPr>
        <w:pStyle w:val="Default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360"/>
        <w:jc w:val="both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verifica diretta sul sito istituzionale, anche attraverso l’utilizzo di supporti informatici.</w:t>
      </w:r>
    </w:p>
    <w:p>
      <w:pPr>
        <w:pStyle w:val="Normal"/>
        <w:spacing w:lineRule="auto" w:line="360"/>
        <w:rPr>
          <w:rFonts w:ascii="Titillium" w:hAnsi="Titillium"/>
          <w:sz w:val="20"/>
          <w:szCs w:val="20"/>
          <w:u w:val="single"/>
        </w:rPr>
      </w:pPr>
      <w:r>
        <w:rPr>
          <w:rFonts w:ascii="Titillium" w:hAnsi="Titillium"/>
          <w:sz w:val="20"/>
          <w:szCs w:val="20"/>
          <w:u w:val="single"/>
        </w:rPr>
      </w:r>
    </w:p>
    <w:p>
      <w:pPr>
        <w:pStyle w:val="Normal"/>
        <w:spacing w:lineRule="auto" w:line="360"/>
        <w:rPr>
          <w:rFonts w:ascii="Titillium" w:hAnsi="Titillium"/>
          <w:b/>
          <w:b/>
          <w:i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>
      <w:pPr>
        <w:pStyle w:val="Normal"/>
        <w:spacing w:lineRule="auto" w:line="36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N.a.</w:t>
      </w:r>
    </w:p>
    <w:p>
      <w:pPr>
        <w:pStyle w:val="Normal"/>
        <w:spacing w:lineRule="auto" w:line="360"/>
        <w:rPr>
          <w:rFonts w:ascii="Titillium" w:hAnsi="Titillium"/>
          <w:b/>
          <w:b/>
          <w:sz w:val="20"/>
          <w:szCs w:val="20"/>
          <w:u w:val="single"/>
        </w:rPr>
      </w:pPr>
      <w:r>
        <w:rPr>
          <w:rFonts w:ascii="Titillium" w:hAnsi="Titillium"/>
          <w:b/>
          <w:sz w:val="20"/>
          <w:szCs w:val="20"/>
          <w:u w:val="single"/>
        </w:rPr>
      </w:r>
    </w:p>
    <w:p>
      <w:pPr>
        <w:pStyle w:val="Normal"/>
        <w:spacing w:lineRule="auto" w:line="360"/>
        <w:rPr>
          <w:rFonts w:ascii="Titillium" w:hAnsi="Titillium"/>
          <w:b/>
          <w:b/>
          <w:i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  <w:t>Eventuale documentazione da allegare</w:t>
      </w:r>
    </w:p>
    <w:p>
      <w:pPr>
        <w:pStyle w:val="Normal"/>
        <w:spacing w:lineRule="auto" w:line="360" w:before="0" w:after="12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n.a.</w:t>
      </w:r>
    </w:p>
    <w:sectPr>
      <w:headerReference w:type="default" r:id="rId2"/>
      <w:type w:val="nextPage"/>
      <w:pgSz w:w="11906" w:h="16838"/>
      <w:pgMar w:left="1134" w:right="1134" w:header="708" w:top="1417" w:footer="0" w:bottom="70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tillium">
    <w:charset w:val="00"/>
    <w:family w:val="roman"/>
    <w:pitch w:val="variable"/>
  </w:font>
  <w:font w:name="Garamond"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right"/>
      <w:rPr>
        <w:rFonts w:ascii="Garamond" w:hAnsi="Garamond"/>
        <w:b/>
        <w:b/>
      </w:rPr>
    </w:pPr>
    <w:r>
      <w:rPr>
        <w:rFonts w:ascii="Garamond" w:hAnsi="Garamond"/>
        <w:b/>
      </w:rPr>
      <w:drawing>
        <wp:anchor behindDoc="1" distT="0" distB="0" distL="114300" distR="114300" simplePos="0" locked="0" layoutInCell="1" allowOverlap="1" relativeHeight="2">
          <wp:simplePos x="0" y="0"/>
          <wp:positionH relativeFrom="margin">
            <wp:posOffset>-271780</wp:posOffset>
          </wp:positionH>
          <wp:positionV relativeFrom="page">
            <wp:posOffset>453390</wp:posOffset>
          </wp:positionV>
          <wp:extent cx="2879725" cy="341630"/>
          <wp:effectExtent l="0" t="0" r="0" b="0"/>
          <wp:wrapSquare wrapText="bothSides"/>
          <wp:docPr id="1" name="Immagine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"/>
      <w:jc w:val="right"/>
      <w:rPr>
        <w:rFonts w:ascii="Garamond" w:hAnsi="Garamond"/>
        <w:b/>
        <w:b/>
      </w:rPr>
    </w:pPr>
    <w:r>
      <w:rPr>
        <w:rFonts w:ascii="Garamond" w:hAnsi="Garamond"/>
        <w:b/>
      </w:rPr>
    </w:r>
  </w:p>
  <w:p>
    <w:pPr>
      <w:pStyle w:val="Intestazione"/>
      <w:tabs>
        <w:tab w:val="left" w:pos="3878" w:leader="none"/>
        <w:tab w:val="center" w:pos="4819" w:leader="none"/>
        <w:tab w:val="right" w:pos="9638" w:leader="none"/>
      </w:tabs>
      <w:rPr>
        <w:rFonts w:ascii="Garamond" w:hAnsi="Garamond"/>
        <w:b/>
        <w:b/>
      </w:rPr>
    </w:pPr>
    <w:r>
      <w:rPr>
        <w:rFonts w:ascii="Garamond" w:hAnsi="Garamond"/>
        <w:b/>
      </w:rPr>
      <w:tab/>
      <w:tab/>
    </w:r>
  </w:p>
  <w:p>
    <w:pPr>
      <w:pStyle w:val="Intestazione"/>
      <w:jc w:val="right"/>
      <w:rPr>
        <w:rFonts w:ascii="Titillium" w:hAnsi="Titillium" w:cs="Times New Roman"/>
        <w:b/>
        <w:b/>
        <w:sz w:val="20"/>
        <w:szCs w:val="20"/>
      </w:rPr>
    </w:pPr>
    <w:r>
      <w:rPr>
        <w:rFonts w:ascii="Titillium" w:hAnsi="Titillium"/>
        <w:b/>
        <w:sz w:val="20"/>
        <w:szCs w:val="20"/>
      </w:rPr>
      <w:t xml:space="preserve">Allegato 3 alla </w:t>
    </w:r>
    <w:r>
      <w:rPr>
        <w:rFonts w:cs="Times New Roman" w:ascii="Titillium" w:hAnsi="Titillium"/>
        <w:b/>
        <w:sz w:val="20"/>
        <w:szCs w:val="20"/>
      </w:rPr>
      <w:t>delibera ANAC n. 294/2021</w:t>
    </w:r>
  </w:p>
  <w:p>
    <w:pPr>
      <w:pStyle w:val="Intestazione"/>
      <w:jc w:val="right"/>
      <w:rPr>
        <w:rFonts w:ascii="Garamond" w:hAnsi="Garamond" w:cs="Times New Roman"/>
        <w:b/>
        <w:b/>
      </w:rPr>
    </w:pPr>
    <w:r>
      <w:rPr>
        <w:rFonts w:cs="Times New Roman" w:ascii="Garamond" w:hAnsi="Garamond"/>
        <w:b/>
      </w:rPr>
    </w:r>
  </w:p>
  <w:p>
    <w:pPr>
      <w:pStyle w:val="Intestazione"/>
      <w:jc w:val="right"/>
      <w:rPr>
        <w:rFonts w:ascii="Garamond" w:hAnsi="Garamond" w:cs="Times New Roman"/>
        <w:b/>
        <w:b/>
      </w:rPr>
    </w:pPr>
    <w:r>
      <w:rPr>
        <w:rFonts w:cs="Times New Roman" w:ascii="Garamond" w:hAnsi="Garamond"/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keepNext w:val="true"/>
      <w:widowControl w:val="false"/>
      <w:suppressAutoHyphens w:val="true"/>
      <w:bidi w:val="0"/>
      <w:spacing w:lineRule="atLeast" w:line="100" w:before="0" w:after="120"/>
      <w:jc w:val="both"/>
    </w:pPr>
    <w:rPr>
      <w:rFonts w:ascii="Times New Roman" w:hAnsi="Times New Roman" w:eastAsia="Times New Roman" w:cs="Cambria"/>
      <w:color w:val="auto"/>
      <w:kern w:val="0"/>
      <w:sz w:val="24"/>
      <w:szCs w:val="24"/>
      <w:lang w:val="it-IT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ichiamoallanotaapidipagina">
    <w:name w:val="Richiamo alla nota a piè di pagina"/>
    <w:rPr>
      <w:sz w:val="14"/>
      <w:vertAlign w:val="superscript"/>
    </w:rPr>
  </w:style>
  <w:style w:type="character" w:styleId="FootnoteCharacters">
    <w:name w:val="Footnote Characters"/>
    <w:basedOn w:val="DefaultParagraphFont"/>
    <w:qFormat/>
    <w:rPr>
      <w:sz w:val="14"/>
      <w:vertAlign w:val="superscript"/>
    </w:rPr>
  </w:style>
  <w:style w:type="character" w:styleId="TestonotaapidipaginaCarattere" w:customStyle="1">
    <w:name w:val="Testo nota a piè di pagina Carattere"/>
    <w:basedOn w:val="DefaultParagraphFont"/>
    <w:qFormat/>
    <w:rPr>
      <w:rFonts w:ascii="Times New Roman" w:hAnsi="Times New Roman" w:eastAsia="Times New Roman" w:cs="Cambria"/>
      <w:sz w:val="20"/>
      <w:szCs w:val="20"/>
      <w:lang w:eastAsia="ar-SA"/>
    </w:rPr>
  </w:style>
  <w:style w:type="character" w:styleId="TestonotaapidipaginaCarattere1" w:customStyle="1">
    <w:name w:val="Testo nota a piè di pagina Carattere1"/>
    <w:basedOn w:val="DefaultParagraphFont"/>
    <w:qFormat/>
    <w:rPr>
      <w:rFonts w:ascii="Times New Roman" w:hAnsi="Times New Roman" w:eastAsia="Times New Roman" w:cs="Cambria"/>
      <w:sz w:val="24"/>
      <w:szCs w:val="24"/>
      <w:lang w:eastAsia="ar-SA"/>
    </w:rPr>
  </w:style>
  <w:style w:type="character" w:styleId="TitoloCarattere" w:customStyle="1">
    <w:name w:val="Titolo Carattere"/>
    <w:basedOn w:val="DefaultParagraphFont"/>
    <w:qFormat/>
    <w:rPr>
      <w:rFonts w:ascii="Times New Roman" w:hAnsi="Times New Roman" w:eastAsia="Times New Roman" w:cs="Times New Roman"/>
      <w:b/>
      <w:bCs/>
      <w:i/>
      <w:sz w:val="36"/>
      <w:szCs w:val="32"/>
      <w:lang w:eastAsia="ar-SA"/>
    </w:rPr>
  </w:style>
  <w:style w:type="character" w:styleId="IntestazioneCarattere" w:customStyle="1">
    <w:name w:val="Intestazione Carattere"/>
    <w:basedOn w:val="DefaultParagraphFont"/>
    <w:qFormat/>
    <w:rPr>
      <w:rFonts w:ascii="Times New Roman" w:hAnsi="Times New Roman" w:eastAsia="Times New Roman" w:cs="Cambria"/>
      <w:sz w:val="24"/>
      <w:szCs w:val="24"/>
      <w:lang w:eastAsia="ar-SA"/>
    </w:rPr>
  </w:style>
  <w:style w:type="character" w:styleId="PidipaginaCarattere" w:customStyle="1">
    <w:name w:val="Piè di pagina Carattere"/>
    <w:basedOn w:val="DefaultParagraphFont"/>
    <w:qFormat/>
    <w:rPr>
      <w:rFonts w:ascii="Times New Roman" w:hAnsi="Times New Roman" w:eastAsia="Times New Roman" w:cs="Cambria"/>
      <w:sz w:val="24"/>
      <w:szCs w:val="24"/>
      <w:lang w:eastAsia="ar-SA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stocommentoCarattere" w:customStyle="1">
    <w:name w:val="Testo commento Carattere"/>
    <w:basedOn w:val="DefaultParagraphFont"/>
    <w:qFormat/>
    <w:rPr>
      <w:rFonts w:ascii="Times New Roman" w:hAnsi="Times New Roman" w:eastAsia="Times New Roman" w:cs="Cambria"/>
      <w:sz w:val="20"/>
      <w:szCs w:val="20"/>
      <w:lang w:eastAsia="ar-SA"/>
    </w:rPr>
  </w:style>
  <w:style w:type="character" w:styleId="SoggettocommentoCarattere" w:customStyle="1">
    <w:name w:val="Soggetto commento Carattere"/>
    <w:basedOn w:val="TestocommentoCarattere"/>
    <w:qFormat/>
    <w:rPr>
      <w:rFonts w:ascii="Times New Roman" w:hAnsi="Times New Roman" w:eastAsia="Times New Roman" w:cs="Cambria"/>
      <w:b/>
      <w:bCs/>
      <w:sz w:val="20"/>
      <w:szCs w:val="20"/>
      <w:lang w:eastAsia="ar-SA"/>
    </w:rPr>
  </w:style>
  <w:style w:type="character" w:styleId="TestofumettoCarattere" w:customStyle="1">
    <w:name w:val="Testo fumetto Carattere"/>
    <w:basedOn w:val="DefaultParagraphFont"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WWCharLFO13LVL1" w:customStyle="1">
    <w:name w:val="WW_CharLFO13LVL1"/>
    <w:qFormat/>
    <w:rPr>
      <w:rFonts w:ascii="Times New Roman" w:hAnsi="Times New Roman" w:eastAsia="Times New Roman" w:cs="Times New Roman"/>
    </w:rPr>
  </w:style>
  <w:style w:type="character" w:styleId="WWCharLFO13LVL2" w:customStyle="1">
    <w:name w:val="WW_CharLFO13LVL2"/>
    <w:qFormat/>
    <w:rPr>
      <w:rFonts w:ascii="Courier New" w:hAnsi="Courier New" w:cs="Courier New"/>
    </w:rPr>
  </w:style>
  <w:style w:type="character" w:styleId="WWCharLFO13LVL3" w:customStyle="1">
    <w:name w:val="WW_CharLFO13LVL3"/>
    <w:qFormat/>
    <w:rPr>
      <w:rFonts w:ascii="Wingdings" w:hAnsi="Wingdings"/>
    </w:rPr>
  </w:style>
  <w:style w:type="character" w:styleId="WWCharLFO13LVL4" w:customStyle="1">
    <w:name w:val="WW_CharLFO13LVL4"/>
    <w:qFormat/>
    <w:rPr>
      <w:rFonts w:ascii="Symbol" w:hAnsi="Symbol"/>
    </w:rPr>
  </w:style>
  <w:style w:type="character" w:styleId="WWCharLFO13LVL5" w:customStyle="1">
    <w:name w:val="WW_CharLFO13LVL5"/>
    <w:qFormat/>
    <w:rPr>
      <w:rFonts w:ascii="Courier New" w:hAnsi="Courier New" w:cs="Courier New"/>
    </w:rPr>
  </w:style>
  <w:style w:type="character" w:styleId="WWCharLFO13LVL6" w:customStyle="1">
    <w:name w:val="WW_CharLFO13LVL6"/>
    <w:qFormat/>
    <w:rPr>
      <w:rFonts w:ascii="Wingdings" w:hAnsi="Wingdings"/>
    </w:rPr>
  </w:style>
  <w:style w:type="character" w:styleId="WWCharLFO13LVL7" w:customStyle="1">
    <w:name w:val="WW_CharLFO13LVL7"/>
    <w:qFormat/>
    <w:rPr>
      <w:rFonts w:ascii="Symbol" w:hAnsi="Symbol"/>
    </w:rPr>
  </w:style>
  <w:style w:type="character" w:styleId="WWCharLFO13LVL8" w:customStyle="1">
    <w:name w:val="WW_CharLFO13LVL8"/>
    <w:qFormat/>
    <w:rPr>
      <w:rFonts w:ascii="Courier New" w:hAnsi="Courier New" w:cs="Courier New"/>
    </w:rPr>
  </w:style>
  <w:style w:type="character" w:styleId="WWCharLFO13LVL9" w:customStyle="1">
    <w:name w:val="WW_CharLFO13LVL9"/>
    <w:qFormat/>
    <w:rPr>
      <w:rFonts w:ascii="Wingdings" w:hAnsi="Wingdings"/>
    </w:rPr>
  </w:style>
  <w:style w:type="character" w:styleId="WWCharLFO15LVL1" w:customStyle="1">
    <w:name w:val="WW_CharLFO15LVL1"/>
    <w:qFormat/>
    <w:rPr>
      <w:rFonts w:ascii="Times New Roman" w:hAnsi="Times New Roman" w:eastAsia="Calibri" w:cs="Times New Roman"/>
      <w:sz w:val="20"/>
    </w:rPr>
  </w:style>
  <w:style w:type="character" w:styleId="WWCharLFO15LVL2" w:customStyle="1">
    <w:name w:val="WW_CharLFO15LVL2"/>
    <w:qFormat/>
    <w:rPr>
      <w:rFonts w:ascii="Courier New" w:hAnsi="Courier New" w:cs="Courier New"/>
    </w:rPr>
  </w:style>
  <w:style w:type="character" w:styleId="WWCharLFO15LVL3" w:customStyle="1">
    <w:name w:val="WW_CharLFO15LVL3"/>
    <w:qFormat/>
    <w:rPr>
      <w:rFonts w:ascii="Wingdings" w:hAnsi="Wingdings"/>
    </w:rPr>
  </w:style>
  <w:style w:type="character" w:styleId="WWCharLFO15LVL4" w:customStyle="1">
    <w:name w:val="WW_CharLFO15LVL4"/>
    <w:qFormat/>
    <w:rPr>
      <w:rFonts w:ascii="Symbol" w:hAnsi="Symbol"/>
    </w:rPr>
  </w:style>
  <w:style w:type="character" w:styleId="WWCharLFO15LVL5" w:customStyle="1">
    <w:name w:val="WW_CharLFO15LVL5"/>
    <w:qFormat/>
    <w:rPr>
      <w:rFonts w:ascii="Courier New" w:hAnsi="Courier New" w:cs="Courier New"/>
    </w:rPr>
  </w:style>
  <w:style w:type="character" w:styleId="WWCharLFO15LVL6" w:customStyle="1">
    <w:name w:val="WW_CharLFO15LVL6"/>
    <w:qFormat/>
    <w:rPr>
      <w:rFonts w:ascii="Wingdings" w:hAnsi="Wingdings"/>
    </w:rPr>
  </w:style>
  <w:style w:type="character" w:styleId="WWCharLFO15LVL7" w:customStyle="1">
    <w:name w:val="WW_CharLFO15LVL7"/>
    <w:qFormat/>
    <w:rPr>
      <w:rFonts w:ascii="Symbol" w:hAnsi="Symbol"/>
    </w:rPr>
  </w:style>
  <w:style w:type="character" w:styleId="WWCharLFO15LVL8" w:customStyle="1">
    <w:name w:val="WW_CharLFO15LVL8"/>
    <w:qFormat/>
    <w:rPr>
      <w:rFonts w:ascii="Courier New" w:hAnsi="Courier New" w:cs="Courier New"/>
    </w:rPr>
  </w:style>
  <w:style w:type="character" w:styleId="WWCharLFO15LVL9" w:customStyle="1">
    <w:name w:val="WW_CharLFO15LVL9"/>
    <w:qFormat/>
    <w:rPr>
      <w:rFonts w:ascii="Wingdings" w:hAnsi="Wingdings"/>
    </w:rPr>
  </w:style>
  <w:style w:type="character" w:styleId="Caratteredellanota" w:customStyle="1">
    <w:name w:val="Carattere della not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 w:customStyle="1">
    <w:name w:val="Body Text"/>
    <w:basedOn w:val="Normal"/>
    <w:pPr/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Notaapidipagina">
    <w:name w:val="Footnote Text"/>
    <w:basedOn w:val="Normal"/>
    <w:pPr/>
    <w:rPr/>
  </w:style>
  <w:style w:type="paragraph" w:styleId="ListParagraph">
    <w:name w:val="List Paragraph"/>
    <w:basedOn w:val="Normal"/>
    <w:qFormat/>
    <w:pPr>
      <w:ind w:left="357" w:hanging="357"/>
    </w:pPr>
    <w:rPr/>
  </w:style>
  <w:style w:type="paragraph" w:styleId="Titoloprincipale">
    <w:name w:val="Title"/>
    <w:basedOn w:val="Normal"/>
    <w:next w:val="Normal"/>
    <w:autoRedefine/>
    <w:qFormat/>
    <w:p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  <w:spacing w:before="0" w:after="0"/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  <w:spacing w:before="0" w:after="0"/>
    </w:pPr>
    <w:rPr/>
  </w:style>
  <w:style w:type="paragraph" w:styleId="Default" w:customStyle="1">
    <w:name w:val="Default"/>
    <w:qFormat/>
    <w:pPr>
      <w:keepNext w:val="true"/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BalloonText">
    <w:name w:val="Balloon Text"/>
    <w:basedOn w:val="Normal"/>
    <w:qFormat/>
    <w:pPr>
      <w:spacing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Application>LibreOffice/6.4.5.2$Windows_X86_64 LibreOffice_project/a726b36747cf2001e06b58ad5db1aa3a9a1872d6</Application>
  <Pages>1</Pages>
  <Words>156</Words>
  <Characters>907</Characters>
  <CharactersWithSpaces>1047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2013-12-19T15:41:00Z</dcterms:created>
  <dc:creator>i.siciliani</dc:creator>
  <dc:description/>
  <dc:language>it-IT</dc:language>
  <cp:lastModifiedBy/>
  <cp:lastPrinted>2018-02-28T15:30:00Z</cp:lastPrinted>
  <dcterms:modified xsi:type="dcterms:W3CDTF">2022-10-06T17:07:17Z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